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Times New Roman"/>
          <w:b/>
          <w:sz w:val="44"/>
          <w:szCs w:val="44"/>
        </w:rPr>
      </w:pPr>
      <w:r>
        <w:rPr>
          <w:rFonts w:hint="eastAsia" w:ascii="黑体" w:hAnsi="黑体" w:eastAsia="黑体" w:cs="Times New Roman"/>
          <w:b/>
          <w:sz w:val="44"/>
          <w:szCs w:val="44"/>
          <w:lang w:eastAsia="zh-CN"/>
        </w:rPr>
        <w:t>计算机信息工程系</w:t>
      </w:r>
      <w:r>
        <w:rPr>
          <w:rFonts w:hint="eastAsia" w:ascii="黑体" w:hAnsi="黑体" w:eastAsia="黑体" w:cs="Times New Roman"/>
          <w:b/>
          <w:sz w:val="44"/>
          <w:szCs w:val="44"/>
        </w:rPr>
        <w:t>系简介</w:t>
      </w:r>
    </w:p>
    <w:p>
      <w:pPr>
        <w:ind w:firstLine="562" w:firstLineChars="200"/>
        <w:rPr>
          <w:rFonts w:ascii="宋体" w:hAnsi="宋体" w:eastAsia="宋体" w:cs="Times New Roman"/>
          <w:b/>
          <w:sz w:val="28"/>
          <w:szCs w:val="28"/>
        </w:rPr>
      </w:pPr>
    </w:p>
    <w:p>
      <w:pPr>
        <w:ind w:firstLine="562"/>
        <w:rPr>
          <w:rFonts w:hint="eastAsia" w:ascii="宋体" w:hAnsi="宋体" w:eastAsia="宋体" w:cs="Times New Roman"/>
          <w:b/>
          <w:sz w:val="28"/>
          <w:szCs w:val="28"/>
        </w:rPr>
      </w:pPr>
      <w:r>
        <w:rPr>
          <w:rFonts w:hint="eastAsia" w:ascii="宋体" w:hAnsi="宋体" w:eastAsia="宋体" w:cs="Times New Roman"/>
          <w:b/>
          <w:sz w:val="28"/>
          <w:szCs w:val="28"/>
        </w:rPr>
        <w:t>一、招生专业</w:t>
      </w:r>
      <w:bookmarkStart w:id="0" w:name="_GoBack"/>
      <w:bookmarkEnd w:id="0"/>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2691"/>
        <w:gridCol w:w="1323"/>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jc w:val="center"/>
              <w:rPr>
                <w:b/>
                <w:sz w:val="28"/>
                <w:szCs w:val="28"/>
              </w:rPr>
            </w:pPr>
            <w:r>
              <w:rPr>
                <w:b/>
                <w:sz w:val="28"/>
                <w:szCs w:val="28"/>
              </w:rPr>
              <w:t>专业名称</w:t>
            </w:r>
          </w:p>
        </w:tc>
        <w:tc>
          <w:tcPr>
            <w:tcW w:w="2691" w:type="dxa"/>
          </w:tcPr>
          <w:p>
            <w:pPr>
              <w:jc w:val="center"/>
              <w:rPr>
                <w:b/>
                <w:sz w:val="28"/>
                <w:szCs w:val="28"/>
              </w:rPr>
            </w:pPr>
            <w:r>
              <w:rPr>
                <w:b/>
                <w:sz w:val="28"/>
                <w:szCs w:val="28"/>
              </w:rPr>
              <w:t>考试科目</w:t>
            </w:r>
          </w:p>
        </w:tc>
        <w:tc>
          <w:tcPr>
            <w:tcW w:w="1323" w:type="dxa"/>
          </w:tcPr>
          <w:p>
            <w:pPr>
              <w:jc w:val="center"/>
              <w:rPr>
                <w:b/>
                <w:sz w:val="28"/>
                <w:szCs w:val="28"/>
              </w:rPr>
            </w:pPr>
            <w:r>
              <w:rPr>
                <w:b/>
                <w:sz w:val="28"/>
                <w:szCs w:val="28"/>
              </w:rPr>
              <w:t>学费</w:t>
            </w:r>
          </w:p>
        </w:tc>
        <w:tc>
          <w:tcPr>
            <w:tcW w:w="1402" w:type="dxa"/>
          </w:tcPr>
          <w:p>
            <w:pPr>
              <w:jc w:val="center"/>
              <w:rPr>
                <w:b/>
                <w:sz w:val="28"/>
                <w:szCs w:val="28"/>
              </w:rPr>
            </w:pPr>
            <w:r>
              <w:rPr>
                <w:b/>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计算机应用技术</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restart"/>
          </w:tcPr>
          <w:p>
            <w:pPr>
              <w:rPr>
                <w:rFonts w:hint="eastAsia"/>
              </w:rPr>
            </w:pPr>
          </w:p>
          <w:p>
            <w:pPr>
              <w:rPr>
                <w:rFonts w:hint="eastAsia"/>
              </w:rPr>
            </w:pPr>
            <w:r>
              <w:rPr>
                <w:rFonts w:hint="eastAsia"/>
              </w:rPr>
              <w:t>1、新生入学“绿色通道”；</w:t>
            </w:r>
          </w:p>
          <w:p>
            <w:pPr>
              <w:rPr>
                <w:rFonts w:hint="eastAsia"/>
              </w:rPr>
            </w:pPr>
            <w:r>
              <w:rPr>
                <w:rFonts w:hint="eastAsia"/>
              </w:rPr>
              <w:t>2、内蒙古籍低保家庭新生资助；</w:t>
            </w:r>
          </w:p>
          <w:p>
            <w:pPr>
              <w:rPr>
                <w:rFonts w:hint="eastAsia"/>
              </w:rPr>
            </w:pPr>
            <w:r>
              <w:rPr>
                <w:rFonts w:hint="eastAsia"/>
              </w:rPr>
              <w:t>3、覆盖面较广国家奖助学金；</w:t>
            </w:r>
          </w:p>
          <w:p>
            <w:pPr>
              <w:rPr>
                <w:rFonts w:hint="eastAsia"/>
                <w:sz w:val="28"/>
                <w:szCs w:val="28"/>
              </w:rPr>
            </w:pPr>
            <w:r>
              <w:rPr>
                <w:rFonts w:hint="eastAsia"/>
              </w:rPr>
              <w:t>4、大学生当兵减免学费等优惠政策；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计算机网络技术</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云计算技术应用</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大数据技术</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信息安全技术应用</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现代物流管理</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7" w:type="dxa"/>
          </w:tcPr>
          <w:p>
            <w:pPr>
              <w:rPr>
                <w:sz w:val="28"/>
                <w:szCs w:val="28"/>
              </w:rPr>
            </w:pPr>
            <w:r>
              <w:rPr>
                <w:sz w:val="28"/>
                <w:szCs w:val="28"/>
              </w:rPr>
              <w:t>网络营销与直播电商</w:t>
            </w:r>
          </w:p>
        </w:tc>
        <w:tc>
          <w:tcPr>
            <w:tcW w:w="2691" w:type="dxa"/>
          </w:tcPr>
          <w:p>
            <w:pPr>
              <w:rPr>
                <w:sz w:val="28"/>
                <w:szCs w:val="28"/>
              </w:rPr>
            </w:pPr>
            <w:r>
              <w:rPr>
                <w:sz w:val="28"/>
                <w:szCs w:val="28"/>
              </w:rPr>
              <w:t>普通文科</w:t>
            </w:r>
            <w:r>
              <w:rPr>
                <w:rFonts w:hint="eastAsia"/>
                <w:sz w:val="28"/>
                <w:szCs w:val="28"/>
              </w:rPr>
              <w:t>/普通理科</w:t>
            </w:r>
          </w:p>
        </w:tc>
        <w:tc>
          <w:tcPr>
            <w:tcW w:w="1323" w:type="dxa"/>
          </w:tcPr>
          <w:p>
            <w:pPr>
              <w:rPr>
                <w:sz w:val="28"/>
                <w:szCs w:val="28"/>
              </w:rPr>
            </w:pPr>
            <w:r>
              <w:rPr>
                <w:rFonts w:hint="eastAsia"/>
                <w:sz w:val="28"/>
                <w:szCs w:val="28"/>
              </w:rPr>
              <w:t>5000元</w:t>
            </w:r>
          </w:p>
        </w:tc>
        <w:tc>
          <w:tcPr>
            <w:tcW w:w="1402" w:type="dxa"/>
            <w:vMerge w:val="continue"/>
          </w:tcPr>
          <w:p>
            <w:pPr>
              <w:rPr>
                <w:rFonts w:hint="eastAsia"/>
                <w:sz w:val="28"/>
                <w:szCs w:val="28"/>
              </w:rPr>
            </w:pPr>
          </w:p>
        </w:tc>
      </w:tr>
    </w:tbl>
    <w:p>
      <w:pPr>
        <w:ind w:firstLine="562" w:firstLineChars="200"/>
        <w:rPr>
          <w:rFonts w:hint="eastAsia" w:ascii="宋体" w:hAnsi="宋体" w:eastAsia="宋体" w:cs="Times New Roman"/>
          <w:b/>
          <w:sz w:val="28"/>
          <w:szCs w:val="28"/>
        </w:rPr>
      </w:pPr>
    </w:p>
    <w:p>
      <w:pPr>
        <w:ind w:firstLine="562" w:firstLineChars="200"/>
        <w:rPr>
          <w:rFonts w:ascii="宋体" w:hAnsi="宋体" w:eastAsia="宋体" w:cs="Times New Roman"/>
          <w:b/>
          <w:sz w:val="28"/>
          <w:szCs w:val="28"/>
        </w:rPr>
      </w:pPr>
      <w:r>
        <w:rPr>
          <w:rFonts w:hint="eastAsia" w:ascii="宋体" w:hAnsi="宋体" w:eastAsia="宋体" w:cs="Times New Roman"/>
          <w:b/>
          <w:sz w:val="28"/>
          <w:szCs w:val="28"/>
        </w:rPr>
        <w:t>二、专业培养目标</w:t>
      </w: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培养拥护党的基本路线，适应社会主义市场经济需要，具有良好的职业道德和创业精神，德智体美劳全面发展，掌握本专业必需的基本理论知识，具有本专业相关领域工作的岗位能力和专业技能，面向行业培养生产、建设、服务和管理等一线所需的高素质技能型人才。</w:t>
      </w:r>
    </w:p>
    <w:p>
      <w:pPr>
        <w:ind w:firstLine="562" w:firstLineChars="200"/>
        <w:rPr>
          <w:rFonts w:hint="eastAsia" w:ascii="宋体" w:hAnsi="宋体" w:eastAsia="宋体" w:cs="Times New Roman"/>
          <w:b/>
          <w:sz w:val="28"/>
          <w:szCs w:val="28"/>
        </w:rPr>
      </w:pPr>
    </w:p>
    <w:p>
      <w:pPr>
        <w:ind w:firstLine="562" w:firstLineChars="200"/>
        <w:rPr>
          <w:rFonts w:ascii="宋体" w:hAnsi="宋体" w:eastAsia="宋体" w:cs="Times New Roman"/>
          <w:b/>
          <w:sz w:val="28"/>
          <w:szCs w:val="28"/>
        </w:rPr>
      </w:pPr>
      <w:r>
        <w:rPr>
          <w:rFonts w:hint="eastAsia" w:ascii="宋体" w:hAnsi="宋体" w:eastAsia="宋体" w:cs="Times New Roman"/>
          <w:b/>
          <w:sz w:val="28"/>
          <w:szCs w:val="28"/>
        </w:rPr>
        <w:t>三、进阶式人才培养模式</w:t>
      </w: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深化人才培养模式改革，构建“四阶段、进阶式”课程体系和“基础、专项、综合、岗位”能力培养体系，制定服务于当地产业发展的人才培养方案。深入开展校企合作，培养高素质复合型技术技能人才。我们聘请专家成立了专业指导委员会，在专业教学指导委员会的指导下，明确专业定位与办学思路，确立符合社会需求的人才培养目标，创新工学结合的人才培养模式，通过“能力模块化、考证岗位化”、 “项目导向”、 和 “双证融通，产教融合”等方式和途径，落实以真实工作任务为载体的工学结合人才培养模式改革。拓展行业、企业参与人才培养的深度与广度。与行业、企业共同制定专业(群)的职业标准和岗位能力要求，制定适应职业岗位(群)的能力模块，构建以工作过程为导向，根据技术领域和职业岗位(群)的任职要求确定能力目标为主线的课程体系。</w:t>
      </w:r>
    </w:p>
    <w:p>
      <w:pPr>
        <w:ind w:firstLine="562" w:firstLineChars="200"/>
        <w:rPr>
          <w:rFonts w:hint="eastAsia" w:ascii="宋体" w:hAnsi="宋体" w:eastAsia="宋体" w:cs="Times New Roman"/>
          <w:b/>
          <w:sz w:val="28"/>
          <w:szCs w:val="28"/>
        </w:rPr>
      </w:pPr>
    </w:p>
    <w:p>
      <w:pPr>
        <w:ind w:firstLine="562" w:firstLineChars="200"/>
        <w:rPr>
          <w:rFonts w:ascii="宋体" w:hAnsi="宋体" w:eastAsia="宋体" w:cs="Times New Roman"/>
          <w:b/>
          <w:sz w:val="28"/>
          <w:szCs w:val="28"/>
        </w:rPr>
      </w:pPr>
      <w:r>
        <w:rPr>
          <w:rFonts w:hint="eastAsia" w:ascii="宋体" w:hAnsi="宋体" w:eastAsia="宋体" w:cs="Times New Roman"/>
          <w:b/>
          <w:sz w:val="28"/>
          <w:szCs w:val="28"/>
        </w:rPr>
        <w:t>四、功能完备的校内外实训条件</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建成集课堂教学、培训认证、技术服务为一体的实训基地，完成网络技术、云计算部署与运维、数据采集与清洗、数据分析与挖掘、数据呈现与应用、软件开发、信息安全攻防等多个综合实训项目；甄选优质企业，合作建设校外实践教学基地，依托企业设备、技术和人才资源，形成设备先进、优势互补的校外实训基地群，满足专业群校外生产实习、综合实训、顶岗实习等教学需求，推进“一专多能、一岗多职”复合型技术人才培养，服务学生多岗迁移发展需求；提高学生的工程实践能力，实现从学生到准工程师的转化，最终服务于当地信息技术产业经济的发展。</w:t>
      </w:r>
    </w:p>
    <w:p>
      <w:pPr>
        <w:jc w:val="center"/>
        <w:rPr>
          <w:rFonts w:hint="eastAsia" w:ascii="宋体" w:hAnsi="宋体" w:eastAsia="宋体" w:cs="Times New Roman"/>
          <w:sz w:val="28"/>
          <w:szCs w:val="28"/>
        </w:rPr>
      </w:pPr>
      <w:r>
        <w:rPr>
          <w:rFonts w:hint="eastAsia" w:ascii="宋体" w:hAnsi="宋体" w:eastAsia="宋体" w:cs="Times New Roman"/>
          <w:sz w:val="28"/>
          <w:szCs w:val="28"/>
        </w:rPr>
        <w:drawing>
          <wp:inline distT="0" distB="0" distL="0" distR="0">
            <wp:extent cx="5274310" cy="39560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hint="eastAsia" w:ascii="宋体" w:hAnsi="宋体" w:eastAsia="宋体" w:cs="Times New Roman"/>
          <w:szCs w:val="21"/>
        </w:rPr>
      </w:pPr>
      <w:r>
        <w:rPr>
          <w:rFonts w:ascii="宋体" w:hAnsi="宋体" w:eastAsia="宋体" w:cs="Times New Roman"/>
          <w:szCs w:val="21"/>
        </w:rPr>
        <w:t>红帽学院授权仪式</w:t>
      </w:r>
    </w:p>
    <w:p>
      <w:pPr>
        <w:jc w:val="center"/>
        <w:rPr>
          <w:rFonts w:hint="eastAsia" w:ascii="宋体" w:hAnsi="宋体" w:eastAsia="宋体" w:cs="Times New Roman"/>
          <w:szCs w:val="21"/>
        </w:rPr>
      </w:pPr>
      <w:r>
        <w:rPr>
          <w:rFonts w:ascii="宋体" w:hAnsi="宋体" w:eastAsia="宋体" w:cs="Times New Roman"/>
          <w:szCs w:val="21"/>
        </w:rPr>
        <w:drawing>
          <wp:inline distT="0" distB="0" distL="0" distR="0">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ascii="宋体" w:hAnsi="宋体" w:eastAsia="宋体" w:cs="Times New Roman"/>
          <w:szCs w:val="21"/>
        </w:rPr>
      </w:pPr>
      <w:r>
        <w:rPr>
          <w:rFonts w:hint="eastAsia" w:ascii="宋体" w:hAnsi="宋体" w:eastAsia="宋体" w:cs="Times New Roman"/>
          <w:szCs w:val="21"/>
        </w:rPr>
        <w:t>华为ICT认证（初级）培训留念</w:t>
      </w:r>
    </w:p>
    <w:p>
      <w:pPr>
        <w:ind w:firstLine="562" w:firstLineChars="200"/>
        <w:rPr>
          <w:rFonts w:hint="eastAsia" w:ascii="宋体" w:hAnsi="宋体" w:eastAsia="宋体" w:cs="Times New Roman"/>
          <w:b/>
          <w:sz w:val="28"/>
          <w:szCs w:val="28"/>
        </w:rPr>
      </w:pPr>
    </w:p>
    <w:p>
      <w:pPr>
        <w:ind w:firstLine="562" w:firstLineChars="200"/>
        <w:rPr>
          <w:rFonts w:ascii="宋体" w:hAnsi="宋体" w:eastAsia="宋体" w:cs="Times New Roman"/>
          <w:b/>
          <w:sz w:val="28"/>
          <w:szCs w:val="28"/>
        </w:rPr>
      </w:pPr>
      <w:r>
        <w:rPr>
          <w:rFonts w:hint="eastAsia" w:ascii="宋体" w:hAnsi="宋体" w:eastAsia="宋体" w:cs="Times New Roman"/>
          <w:b/>
          <w:sz w:val="28"/>
          <w:szCs w:val="28"/>
        </w:rPr>
        <w:t>五、开展“1+X”证书和行业企业培训认证</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引入“1+X”相关职业技能等级证书、行业企业职业技能等级认定标准，建设职业技能等级证书培训和考评体系，开发配套综合性训练项目，实施“1+X”证书制度和行业企业职业技能培训和认证。针对不同中小企业的特点，开发适合不同层次需求的Web前端开发、网络系统建设与运维等模块化培训项目。</w:t>
      </w:r>
    </w:p>
    <w:p>
      <w:pPr>
        <w:rPr>
          <w:rFonts w:hint="eastAsia" w:ascii="宋体" w:hAnsi="宋体" w:eastAsia="宋体" w:cs="Times New Roman"/>
          <w:sz w:val="28"/>
          <w:szCs w:val="28"/>
        </w:rPr>
      </w:pPr>
      <w:r>
        <w:rPr>
          <w:rFonts w:hint="eastAsia" w:ascii="宋体" w:hAnsi="宋体" w:eastAsia="宋体" w:cs="Times New Roman"/>
          <w:sz w:val="28"/>
          <w:szCs w:val="28"/>
        </w:rPr>
        <w:drawing>
          <wp:inline distT="0" distB="0" distL="0" distR="0">
            <wp:extent cx="5276850" cy="3524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extLst>
                        <a:ext uri="{28A0092B-C50C-407E-A947-70E740481C1C}">
                          <a14:useLocalDpi xmlns:a14="http://schemas.microsoft.com/office/drawing/2010/main" val="0"/>
                        </a:ext>
                      </a:extLst>
                    </a:blip>
                    <a:srcRect t="6667" b="11101"/>
                    <a:stretch>
                      <a:fillRect/>
                    </a:stretch>
                  </pic:blipFill>
                  <pic:spPr>
                    <a:xfrm>
                      <a:off x="0" y="0"/>
                      <a:ext cx="5274310" cy="3522554"/>
                    </a:xfrm>
                    <a:prstGeom prst="rect">
                      <a:avLst/>
                    </a:prstGeom>
                    <a:ln>
                      <a:noFill/>
                    </a:ln>
                  </pic:spPr>
                </pic:pic>
              </a:graphicData>
            </a:graphic>
          </wp:inline>
        </w:drawing>
      </w:r>
    </w:p>
    <w:p>
      <w:pPr>
        <w:ind w:firstLine="420" w:firstLineChars="200"/>
        <w:jc w:val="center"/>
        <w:rPr>
          <w:rFonts w:hint="eastAsia" w:ascii="宋体" w:hAnsi="宋体" w:eastAsia="宋体" w:cs="Times New Roman"/>
          <w:szCs w:val="21"/>
        </w:rPr>
      </w:pPr>
      <w:r>
        <w:rPr>
          <w:rFonts w:hint="eastAsia" w:ascii="宋体" w:hAnsi="宋体" w:eastAsia="宋体" w:cs="Times New Roman"/>
          <w:szCs w:val="21"/>
        </w:rPr>
        <w:t>学生获取全国计算机等级考试（二级）证书</w:t>
      </w:r>
    </w:p>
    <w:p>
      <w:pPr>
        <w:rPr>
          <w:rFonts w:hint="eastAsia" w:ascii="宋体" w:hAnsi="宋体" w:eastAsia="宋体" w:cs="Times New Roman"/>
          <w:sz w:val="28"/>
          <w:szCs w:val="28"/>
        </w:rPr>
      </w:pPr>
      <w:r>
        <w:rPr>
          <w:rFonts w:ascii="宋体" w:hAnsi="宋体" w:eastAsia="宋体" w:cs="Times New Roman"/>
          <w:sz w:val="28"/>
          <w:szCs w:val="28"/>
        </w:rPr>
        <w:drawing>
          <wp:inline distT="0" distB="0" distL="0" distR="0">
            <wp:extent cx="5275580" cy="3476625"/>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extLst>
                        <a:ext uri="{28A0092B-C50C-407E-A947-70E740481C1C}">
                          <a14:useLocalDpi xmlns:a14="http://schemas.microsoft.com/office/drawing/2010/main" val="0"/>
                        </a:ext>
                      </a:extLst>
                    </a:blip>
                    <a:srcRect t="2820" b="3590"/>
                    <a:stretch>
                      <a:fillRect/>
                    </a:stretch>
                  </pic:blipFill>
                  <pic:spPr>
                    <a:xfrm>
                      <a:off x="0" y="0"/>
                      <a:ext cx="5274310" cy="3475437"/>
                    </a:xfrm>
                    <a:prstGeom prst="rect">
                      <a:avLst/>
                    </a:prstGeom>
                    <a:ln>
                      <a:noFill/>
                    </a:ln>
                  </pic:spPr>
                </pic:pic>
              </a:graphicData>
            </a:graphic>
          </wp:inline>
        </w:drawing>
      </w:r>
    </w:p>
    <w:p>
      <w:pPr>
        <w:ind w:firstLine="420" w:firstLineChars="200"/>
        <w:jc w:val="center"/>
        <w:rPr>
          <w:rFonts w:hint="eastAsia" w:ascii="宋体" w:hAnsi="宋体" w:eastAsia="宋体" w:cs="Times New Roman"/>
          <w:szCs w:val="21"/>
        </w:rPr>
      </w:pPr>
      <w:r>
        <w:rPr>
          <w:rFonts w:hint="eastAsia" w:ascii="宋体" w:hAnsi="宋体" w:eastAsia="宋体" w:cs="Times New Roman"/>
          <w:szCs w:val="21"/>
        </w:rPr>
        <w:t>学生获取华为认证（HCIP）证书</w:t>
      </w:r>
    </w:p>
    <w:p>
      <w:pPr>
        <w:rPr>
          <w:rFonts w:ascii="宋体" w:hAnsi="宋体" w:eastAsia="宋体" w:cs="Times New Roman"/>
          <w:sz w:val="28"/>
          <w:szCs w:val="28"/>
        </w:rPr>
      </w:pPr>
    </w:p>
    <w:p>
      <w:pPr>
        <w:ind w:firstLine="562" w:firstLineChars="200"/>
        <w:rPr>
          <w:rFonts w:ascii="宋体" w:hAnsi="宋体" w:eastAsia="宋体" w:cs="Times New Roman"/>
          <w:b/>
          <w:sz w:val="28"/>
          <w:szCs w:val="28"/>
        </w:rPr>
      </w:pPr>
      <w:r>
        <w:rPr>
          <w:rFonts w:hint="eastAsia" w:ascii="宋体" w:hAnsi="宋体" w:eastAsia="宋体" w:cs="Times New Roman"/>
          <w:b/>
          <w:sz w:val="28"/>
          <w:szCs w:val="28"/>
        </w:rPr>
        <w:t>六、学生能广泛就业，就业率达95%以上</w:t>
      </w: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与北京国商物流有限公司、华为技术有限公司、中兴能源集团•云泰互联科技有限公司、国安集团（北京）城市科技有限公司（中信国安集团旗下公司）、中信国安鸿联九五北京协等多家大中型企业建立了稳定的校企合作关系，开展合作办学，实现学生高质量零距离就业，就业率持续在较高水平。</w:t>
      </w:r>
    </w:p>
    <w:p>
      <w:pPr>
        <w:ind w:firstLine="562" w:firstLineChars="200"/>
        <w:jc w:val="left"/>
        <w:rPr>
          <w:rFonts w:hint="eastAsia" w:ascii="宋体" w:hAnsi="宋体" w:eastAsia="宋体" w:cs="Times New Roman"/>
          <w:b/>
          <w:sz w:val="28"/>
          <w:szCs w:val="28"/>
        </w:rPr>
      </w:pPr>
    </w:p>
    <w:p>
      <w:pPr>
        <w:ind w:firstLine="562" w:firstLineChars="200"/>
        <w:jc w:val="left"/>
        <w:rPr>
          <w:rFonts w:ascii="宋体" w:hAnsi="宋体" w:eastAsia="宋体" w:cs="Times New Roman"/>
          <w:b/>
          <w:sz w:val="28"/>
          <w:szCs w:val="28"/>
        </w:rPr>
      </w:pPr>
      <w:r>
        <w:rPr>
          <w:rFonts w:hint="eastAsia" w:ascii="宋体" w:hAnsi="宋体" w:eastAsia="宋体" w:cs="Times New Roman"/>
          <w:b/>
          <w:sz w:val="28"/>
          <w:szCs w:val="28"/>
        </w:rPr>
        <w:t>七、升学途径</w:t>
      </w:r>
    </w:p>
    <w:p>
      <w:pPr>
        <w:ind w:firstLine="560" w:firstLineChars="200"/>
        <w:jc w:val="left"/>
        <w:rPr>
          <w:rFonts w:ascii="宋体" w:hAnsi="宋体" w:eastAsia="宋体" w:cs="Times New Roman"/>
          <w:sz w:val="28"/>
          <w:szCs w:val="28"/>
        </w:rPr>
      </w:pPr>
      <w:r>
        <w:rPr>
          <w:rFonts w:hint="eastAsia" w:ascii="宋体" w:hAnsi="宋体" w:eastAsia="宋体" w:cs="Times New Roman"/>
          <w:sz w:val="28"/>
          <w:szCs w:val="28"/>
        </w:rPr>
        <w:t>学生在大三时，可报考内蒙古农业大学、内蒙古鸿德文理学院、集宁师范学院等院校的“专升本”，被录取的学生将在本科院校继续就读两年，成绩合格可获得合作院校颁发的本科毕业证书和学位证书。</w:t>
      </w:r>
    </w:p>
    <w:p>
      <w:pPr>
        <w:ind w:firstLine="562" w:firstLineChars="200"/>
        <w:jc w:val="left"/>
        <w:rPr>
          <w:rFonts w:hint="eastAsia" w:ascii="宋体" w:hAnsi="宋体" w:eastAsia="宋体" w:cs="Times New Roman"/>
          <w:b/>
          <w:sz w:val="28"/>
          <w:szCs w:val="28"/>
        </w:rPr>
      </w:pPr>
    </w:p>
    <w:p>
      <w:pPr>
        <w:ind w:firstLine="562" w:firstLineChars="200"/>
        <w:jc w:val="left"/>
        <w:rPr>
          <w:rFonts w:ascii="宋体" w:hAnsi="宋体" w:eastAsia="宋体" w:cs="Times New Roman"/>
          <w:b/>
          <w:sz w:val="28"/>
          <w:szCs w:val="28"/>
        </w:rPr>
      </w:pPr>
      <w:r>
        <w:rPr>
          <w:rFonts w:ascii="宋体" w:hAnsi="宋体" w:eastAsia="宋体" w:cs="Times New Roman"/>
          <w:b/>
          <w:sz w:val="28"/>
          <w:szCs w:val="28"/>
        </w:rPr>
        <w:t>八、</w:t>
      </w:r>
      <w:r>
        <w:rPr>
          <w:rFonts w:hint="eastAsia" w:ascii="宋体" w:hAnsi="宋体" w:eastAsia="宋体" w:cs="Times New Roman"/>
          <w:b/>
          <w:sz w:val="28"/>
          <w:szCs w:val="28"/>
        </w:rPr>
        <w:t>优秀</w:t>
      </w:r>
      <w:r>
        <w:rPr>
          <w:rFonts w:ascii="宋体" w:hAnsi="宋体" w:eastAsia="宋体" w:cs="Times New Roman"/>
          <w:b/>
          <w:sz w:val="28"/>
          <w:szCs w:val="28"/>
        </w:rPr>
        <w:t>毕业生</w:t>
      </w:r>
    </w:p>
    <w:p>
      <w:pPr>
        <w:rPr>
          <w:rFonts w:ascii="宋体" w:hAnsi="宋体" w:eastAsia="宋体" w:cs="Times New Roman"/>
          <w:sz w:val="28"/>
          <w:szCs w:val="28"/>
        </w:rPr>
      </w:pPr>
      <w:r>
        <w:rPr>
          <w:rFonts w:ascii="等线" w:hAnsi="等线" w:eastAsia="等线" w:cs="Times New Roman"/>
        </w:rPr>
        <w:drawing>
          <wp:inline distT="0" distB="0" distL="0" distR="0">
            <wp:extent cx="2487930" cy="3782695"/>
            <wp:effectExtent l="0" t="0" r="762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2493908" cy="3791999"/>
                    </a:xfrm>
                    <a:prstGeom prst="rect">
                      <a:avLst/>
                    </a:prstGeom>
                  </pic:spPr>
                </pic:pic>
              </a:graphicData>
            </a:graphic>
          </wp:inline>
        </w:drawing>
      </w:r>
      <w:r>
        <w:rPr>
          <w:rFonts w:hint="eastAsia" w:ascii="宋体" w:hAnsi="宋体" w:eastAsia="宋体" w:cs="Times New Roman"/>
          <w:sz w:val="28"/>
          <w:szCs w:val="28"/>
        </w:rPr>
        <w:t xml:space="preserve">   </w:t>
      </w:r>
      <w:r>
        <w:rPr>
          <w:rFonts w:ascii="等线" w:hAnsi="等线" w:eastAsia="等线" w:cs="Times New Roman"/>
        </w:rPr>
        <w:drawing>
          <wp:inline distT="0" distB="0" distL="0" distR="0">
            <wp:extent cx="2480310" cy="37915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2494366" cy="3812591"/>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5OTgzMTEyOTc0OWNjMDhkYTQxODBlNjgxYWViNzMifQ=="/>
  </w:docVars>
  <w:rsids>
    <w:rsidRoot w:val="00D71B4A"/>
    <w:rsid w:val="000C6222"/>
    <w:rsid w:val="0021058A"/>
    <w:rsid w:val="00397F0D"/>
    <w:rsid w:val="00635F5F"/>
    <w:rsid w:val="00700E63"/>
    <w:rsid w:val="00807B96"/>
    <w:rsid w:val="00847CAF"/>
    <w:rsid w:val="008548BF"/>
    <w:rsid w:val="00C2576C"/>
    <w:rsid w:val="00D17029"/>
    <w:rsid w:val="00D71B4A"/>
    <w:rsid w:val="00D804C8"/>
    <w:rsid w:val="00DB0376"/>
    <w:rsid w:val="00F801DF"/>
    <w:rsid w:val="30A96CFE"/>
    <w:rsid w:val="49096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批注框文本 Char"/>
    <w:basedOn w:val="5"/>
    <w:link w:val="2"/>
    <w:semiHidden/>
    <w:qFormat/>
    <w:uiPriority w:val="99"/>
    <w:rPr>
      <w:sz w:val="18"/>
      <w:szCs w:val="18"/>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1408</Words>
  <Characters>1444</Characters>
  <Lines>10</Lines>
  <Paragraphs>3</Paragraphs>
  <TotalTime>5</TotalTime>
  <ScaleCrop>false</ScaleCrop>
  <LinksUpToDate>false</LinksUpToDate>
  <CharactersWithSpaces>1450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2021-12-10T01:56:00Z</dcterms:created>
  <dc:creator>admin</dc:creator>
  <cp:lastModifiedBy>夜猫</cp:lastModifiedBy>
  <dcterms:modified xsi:type="dcterms:W3CDTF">2023-02-16T02:13:12Z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B4C8384C10EF4EA58AF9DA2AA562DB22</vt:lpwstr>
  </property>
</Properties>
</file>